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7E6B23B3" w:rsidR="004934E0" w:rsidRPr="00C04CFA" w:rsidRDefault="00167206" w:rsidP="008E7D27">
      <w:pPr>
        <w:keepNext/>
        <w:tabs>
          <w:tab w:val="right" w:pos="9638"/>
        </w:tabs>
        <w:spacing w:before="120" w:after="120" w:line="360" w:lineRule="auto"/>
        <w:rPr>
          <w:b/>
          <w:bCs/>
          <w:sz w:val="22"/>
          <w:szCs w:val="22"/>
        </w:rPr>
      </w:pPr>
      <w:r>
        <w:rPr>
          <w:b/>
          <w:noProof/>
          <w:sz w:val="24"/>
        </w:rPr>
        <w:t>SA3</w:t>
      </w:r>
      <w:r w:rsidR="005B5D86">
        <w:rPr>
          <w:b/>
          <w:noProof/>
          <w:sz w:val="24"/>
        </w:rPr>
        <w:t>#99-LI</w:t>
      </w:r>
      <w:r w:rsidR="004934E0" w:rsidRPr="00C04CFA">
        <w:rPr>
          <w:b/>
          <w:bCs/>
          <w:sz w:val="22"/>
          <w:szCs w:val="22"/>
        </w:rPr>
        <w:tab/>
      </w:r>
      <w:r>
        <w:rPr>
          <w:b/>
          <w:bCs/>
          <w:sz w:val="22"/>
          <w:szCs w:val="22"/>
        </w:rPr>
        <w:t>S3i2</w:t>
      </w:r>
      <w:r w:rsidR="00C810F1">
        <w:rPr>
          <w:b/>
          <w:bCs/>
          <w:sz w:val="22"/>
          <w:szCs w:val="22"/>
        </w:rPr>
        <w:t>5</w:t>
      </w:r>
      <w:r w:rsidR="00473461">
        <w:rPr>
          <w:b/>
          <w:bCs/>
          <w:sz w:val="22"/>
          <w:szCs w:val="22"/>
        </w:rPr>
        <w:t>0</w:t>
      </w:r>
      <w:r w:rsidR="005B5D86">
        <w:rPr>
          <w:b/>
          <w:bCs/>
          <w:sz w:val="22"/>
          <w:szCs w:val="22"/>
        </w:rPr>
        <w:t>6</w:t>
      </w:r>
      <w:r w:rsidR="000422E5">
        <w:rPr>
          <w:b/>
          <w:bCs/>
          <w:sz w:val="22"/>
          <w:szCs w:val="22"/>
        </w:rPr>
        <w:t>41</w:t>
      </w:r>
    </w:p>
    <w:p w14:paraId="7157F9DD" w14:textId="06D07571" w:rsidR="004934E0" w:rsidRPr="00C04CFA" w:rsidRDefault="00A705DE" w:rsidP="008E7D27">
      <w:pPr>
        <w:keepNext/>
        <w:pBdr>
          <w:bottom w:val="single" w:sz="6" w:space="0" w:color="auto"/>
        </w:pBdr>
        <w:tabs>
          <w:tab w:val="right" w:pos="9638"/>
        </w:tabs>
        <w:spacing w:before="120" w:after="120" w:line="360" w:lineRule="auto"/>
        <w:rPr>
          <w:b/>
          <w:bCs/>
          <w:sz w:val="22"/>
          <w:szCs w:val="22"/>
        </w:rPr>
      </w:pPr>
      <w:r>
        <w:rPr>
          <w:b/>
          <w:noProof/>
          <w:sz w:val="24"/>
        </w:rPr>
        <w:t>November 4-7</w:t>
      </w:r>
      <w:r w:rsidR="00DF2684">
        <w:rPr>
          <w:b/>
          <w:noProof/>
          <w:sz w:val="24"/>
        </w:rPr>
        <w:t xml:space="preserve">, 2025, </w:t>
      </w:r>
      <w:r>
        <w:rPr>
          <w:b/>
          <w:noProof/>
          <w:sz w:val="24"/>
        </w:rPr>
        <w:t>Overland Park, KS (USA)</w:t>
      </w:r>
      <w:r w:rsidR="004934E0" w:rsidRPr="00C04CFA">
        <w:rPr>
          <w:b/>
          <w:bCs/>
          <w:sz w:val="22"/>
          <w:szCs w:val="22"/>
        </w:rPr>
        <w:tab/>
      </w:r>
    </w:p>
    <w:p w14:paraId="06E38623" w14:textId="1CF893B6"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6A0C3077"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044DE9" w:rsidRPr="00044DE9">
        <w:rPr>
          <w:b/>
          <w:sz w:val="22"/>
          <w:szCs w:val="22"/>
        </w:rPr>
        <w:t xml:space="preserve">TR 33.929-9: PTC LI - introduction and example flow-diagrams for </w:t>
      </w:r>
      <w:r w:rsidR="006F01B7">
        <w:rPr>
          <w:b/>
          <w:sz w:val="22"/>
          <w:szCs w:val="22"/>
        </w:rPr>
        <w:t xml:space="preserve">PTC </w:t>
      </w:r>
      <w:r w:rsidR="00044DE9" w:rsidRPr="00044DE9">
        <w:rPr>
          <w:b/>
          <w:sz w:val="22"/>
          <w:szCs w:val="22"/>
        </w:rPr>
        <w:t>pre-established session</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3D28BB3B"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A6694">
        <w:rPr>
          <w:b/>
          <w:sz w:val="22"/>
          <w:szCs w:val="22"/>
        </w:rPr>
        <w:t>10</w:t>
      </w:r>
    </w:p>
    <w:p w14:paraId="51B826EF" w14:textId="413EF97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CA6694" w:rsidRPr="00CA6694">
        <w:rPr>
          <w:b/>
          <w:sz w:val="22"/>
          <w:szCs w:val="22"/>
        </w:rPr>
        <w:t>LI19-GUIDE</w:t>
      </w:r>
    </w:p>
    <w:p w14:paraId="0F103CEB" w14:textId="5803F8FE" w:rsidR="001A72D3"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input text to TR 33.929-</w:t>
      </w:r>
      <w:r w:rsidR="00A705DE">
        <w:rPr>
          <w:rFonts w:ascii="Arial" w:hAnsi="Arial" w:cs="Arial"/>
          <w:i/>
          <w:sz w:val="18"/>
          <w:szCs w:val="18"/>
        </w:rPr>
        <w:t>9</w:t>
      </w:r>
      <w:r w:rsidR="00C810F1">
        <w:rPr>
          <w:rFonts w:ascii="Arial" w:hAnsi="Arial" w:cs="Arial"/>
          <w:i/>
          <w:sz w:val="18"/>
          <w:szCs w:val="18"/>
        </w:rPr>
        <w:t xml:space="preserve"> </w:t>
      </w:r>
      <w:r w:rsidR="008A55EB">
        <w:rPr>
          <w:rFonts w:ascii="Arial" w:hAnsi="Arial" w:cs="Arial"/>
          <w:i/>
          <w:sz w:val="18"/>
          <w:szCs w:val="18"/>
        </w:rPr>
        <w:t xml:space="preserve">LI for </w:t>
      </w:r>
      <w:r w:rsidR="00A705DE">
        <w:rPr>
          <w:rFonts w:ascii="Arial" w:hAnsi="Arial" w:cs="Arial"/>
          <w:i/>
          <w:sz w:val="18"/>
          <w:szCs w:val="18"/>
        </w:rPr>
        <w:t>PTC</w:t>
      </w:r>
      <w:r w:rsidR="00C978E3">
        <w:rPr>
          <w:rFonts w:ascii="Arial" w:hAnsi="Arial" w:cs="Arial"/>
          <w:i/>
          <w:sz w:val="18"/>
          <w:szCs w:val="18"/>
        </w:rPr>
        <w:t xml:space="preserve">. </w:t>
      </w:r>
      <w:r w:rsidR="00F14957">
        <w:rPr>
          <w:rFonts w:ascii="Arial" w:hAnsi="Arial" w:cs="Arial"/>
          <w:i/>
          <w:sz w:val="18"/>
          <w:szCs w:val="18"/>
        </w:rPr>
        <w:t>This pCR provide</w:t>
      </w:r>
      <w:r w:rsidR="009A0CE8">
        <w:rPr>
          <w:rFonts w:ascii="Arial" w:hAnsi="Arial" w:cs="Arial"/>
          <w:i/>
          <w:sz w:val="18"/>
          <w:szCs w:val="18"/>
        </w:rPr>
        <w:t>s</w:t>
      </w:r>
      <w:r w:rsidR="00F14957">
        <w:rPr>
          <w:rFonts w:ascii="Arial" w:hAnsi="Arial" w:cs="Arial"/>
          <w:i/>
          <w:sz w:val="18"/>
          <w:szCs w:val="18"/>
        </w:rPr>
        <w:t xml:space="preserve"> </w:t>
      </w:r>
      <w:r w:rsidR="00D85089">
        <w:rPr>
          <w:rFonts w:ascii="Arial" w:hAnsi="Arial" w:cs="Arial"/>
          <w:i/>
          <w:sz w:val="18"/>
          <w:szCs w:val="18"/>
        </w:rPr>
        <w:t xml:space="preserve">few introductory remarks and </w:t>
      </w:r>
      <w:r w:rsidR="000422E5">
        <w:rPr>
          <w:rFonts w:ascii="Arial" w:hAnsi="Arial" w:cs="Arial"/>
          <w:i/>
          <w:sz w:val="18"/>
          <w:szCs w:val="18"/>
        </w:rPr>
        <w:t>example flow diagram</w:t>
      </w:r>
      <w:r w:rsidR="00D85089">
        <w:rPr>
          <w:rFonts w:ascii="Arial" w:hAnsi="Arial" w:cs="Arial"/>
          <w:i/>
          <w:sz w:val="18"/>
          <w:szCs w:val="18"/>
        </w:rPr>
        <w:t>s</w:t>
      </w:r>
      <w:r w:rsidR="000422E5">
        <w:rPr>
          <w:rFonts w:ascii="Arial" w:hAnsi="Arial" w:cs="Arial"/>
          <w:i/>
          <w:sz w:val="18"/>
          <w:szCs w:val="18"/>
        </w:rPr>
        <w:t xml:space="preserve"> for </w:t>
      </w:r>
      <w:r w:rsidR="006F01B7">
        <w:rPr>
          <w:rFonts w:ascii="Arial" w:hAnsi="Arial" w:cs="Arial"/>
          <w:i/>
          <w:sz w:val="18"/>
          <w:szCs w:val="18"/>
        </w:rPr>
        <w:t xml:space="preserve">PTC </w:t>
      </w:r>
      <w:r w:rsidR="00D85089">
        <w:rPr>
          <w:rFonts w:ascii="Arial" w:hAnsi="Arial" w:cs="Arial"/>
          <w:i/>
          <w:sz w:val="18"/>
          <w:szCs w:val="18"/>
        </w:rPr>
        <w:t>pre-established session</w:t>
      </w:r>
      <w:r w:rsidR="000422E5">
        <w:rPr>
          <w:rFonts w:ascii="Arial" w:hAnsi="Arial" w:cs="Arial"/>
          <w:i/>
          <w:sz w:val="18"/>
          <w:szCs w:val="18"/>
        </w:rPr>
        <w:t>.</w:t>
      </w:r>
    </w:p>
    <w:p w14:paraId="2E5A706C" w14:textId="618D9168" w:rsidR="00347117" w:rsidRPr="00F201DF" w:rsidRDefault="002A1336" w:rsidP="00F201DF">
      <w:pPr>
        <w:pBdr>
          <w:bottom w:val="single" w:sz="4" w:space="1" w:color="auto"/>
        </w:pBdr>
        <w:spacing w:before="120" w:after="120"/>
        <w:rPr>
          <w:b/>
          <w:sz w:val="36"/>
          <w:szCs w:val="36"/>
        </w:rPr>
      </w:pPr>
      <w:r>
        <w:rPr>
          <w:b/>
          <w:i/>
          <w:sz w:val="36"/>
          <w:szCs w:val="36"/>
        </w:rPr>
        <w:t>BACKGROUND</w:t>
      </w:r>
    </w:p>
    <w:p w14:paraId="5C2A3D8B" w14:textId="21AEAB7E" w:rsidR="001A72D3" w:rsidRDefault="003746FA" w:rsidP="00DB76A2">
      <w:pPr>
        <w:tabs>
          <w:tab w:val="left" w:pos="2660"/>
        </w:tabs>
        <w:jc w:val="both"/>
        <w:rPr>
          <w:bCs/>
          <w:sz w:val="22"/>
          <w:szCs w:val="22"/>
        </w:rPr>
      </w:pPr>
      <w:r w:rsidRPr="00A12774">
        <w:rPr>
          <w:bCs/>
          <w:sz w:val="22"/>
          <w:szCs w:val="22"/>
        </w:rPr>
        <w:t>The TR 33.929-</w:t>
      </w:r>
      <w:r w:rsidR="00A705DE">
        <w:rPr>
          <w:bCs/>
          <w:sz w:val="22"/>
          <w:szCs w:val="22"/>
        </w:rPr>
        <w:t>9</w:t>
      </w:r>
      <w:r w:rsidRPr="00A12774">
        <w:rPr>
          <w:bCs/>
          <w:sz w:val="22"/>
          <w:szCs w:val="22"/>
        </w:rPr>
        <w:t xml:space="preserve"> </w:t>
      </w:r>
      <w:r>
        <w:rPr>
          <w:bCs/>
          <w:sz w:val="22"/>
          <w:szCs w:val="22"/>
        </w:rPr>
        <w:t xml:space="preserve">provides the implementation guidance for the LI aspects related to the </w:t>
      </w:r>
      <w:r w:rsidR="00A705DE">
        <w:rPr>
          <w:bCs/>
          <w:sz w:val="22"/>
          <w:szCs w:val="22"/>
        </w:rPr>
        <w:t>PTC.</w:t>
      </w:r>
      <w:r>
        <w:rPr>
          <w:bCs/>
          <w:sz w:val="22"/>
          <w:szCs w:val="22"/>
        </w:rPr>
        <w:t xml:space="preserve"> </w:t>
      </w:r>
      <w:r w:rsidR="00C7527F">
        <w:rPr>
          <w:bCs/>
          <w:sz w:val="22"/>
          <w:szCs w:val="22"/>
        </w:rPr>
        <w:t xml:space="preserve">This pCR provides </w:t>
      </w:r>
      <w:r w:rsidR="00D85089">
        <w:rPr>
          <w:bCs/>
          <w:sz w:val="22"/>
          <w:szCs w:val="22"/>
        </w:rPr>
        <w:t xml:space="preserve">introductory text and example </w:t>
      </w:r>
      <w:r w:rsidR="000422E5">
        <w:rPr>
          <w:bCs/>
          <w:sz w:val="22"/>
          <w:szCs w:val="22"/>
        </w:rPr>
        <w:t>flow-diagram</w:t>
      </w:r>
      <w:r w:rsidR="00D85089">
        <w:rPr>
          <w:bCs/>
          <w:sz w:val="22"/>
          <w:szCs w:val="22"/>
        </w:rPr>
        <w:t>s</w:t>
      </w:r>
      <w:r w:rsidR="000422E5">
        <w:rPr>
          <w:bCs/>
          <w:sz w:val="22"/>
          <w:szCs w:val="22"/>
        </w:rPr>
        <w:t xml:space="preserve"> for </w:t>
      </w:r>
      <w:r w:rsidR="006F01B7">
        <w:rPr>
          <w:bCs/>
          <w:sz w:val="22"/>
          <w:szCs w:val="22"/>
        </w:rPr>
        <w:t xml:space="preserve">PTC </w:t>
      </w:r>
      <w:r w:rsidR="00D85089">
        <w:rPr>
          <w:bCs/>
          <w:sz w:val="22"/>
          <w:szCs w:val="22"/>
        </w:rPr>
        <w:t>pre-established</w:t>
      </w:r>
      <w:r w:rsidR="006F01B7">
        <w:rPr>
          <w:bCs/>
          <w:sz w:val="22"/>
          <w:szCs w:val="22"/>
        </w:rPr>
        <w:t xml:space="preserve"> </w:t>
      </w:r>
      <w:r w:rsidR="00D85089">
        <w:rPr>
          <w:bCs/>
          <w:sz w:val="22"/>
          <w:szCs w:val="22"/>
        </w:rPr>
        <w:t>session</w:t>
      </w:r>
      <w:r w:rsidR="000422E5">
        <w:rPr>
          <w:bCs/>
          <w:sz w:val="22"/>
          <w:szCs w:val="22"/>
        </w:rPr>
        <w:t>.</w:t>
      </w:r>
    </w:p>
    <w:p w14:paraId="3645AC75" w14:textId="50620A19" w:rsidR="004C2287" w:rsidRPr="00302C13" w:rsidRDefault="004C2287" w:rsidP="004C2287">
      <w:pPr>
        <w:tabs>
          <w:tab w:val="left" w:pos="2660"/>
        </w:tabs>
        <w:jc w:val="both"/>
        <w:rPr>
          <w:bCs/>
          <w:color w:val="7030A0"/>
          <w:sz w:val="36"/>
          <w:szCs w:val="36"/>
        </w:rPr>
      </w:pPr>
      <w:r w:rsidRPr="00302C13">
        <w:rPr>
          <w:bCs/>
          <w:color w:val="7030A0"/>
          <w:sz w:val="36"/>
          <w:szCs w:val="36"/>
        </w:rPr>
        <w:t>**** Relevant clauses from the other pCRs ****</w:t>
      </w:r>
    </w:p>
    <w:p w14:paraId="29F5E011" w14:textId="77777777" w:rsidR="004C2287" w:rsidRPr="004D3578" w:rsidRDefault="004C2287" w:rsidP="004C2287">
      <w:pPr>
        <w:pStyle w:val="Heading1"/>
      </w:pPr>
      <w:bookmarkStart w:id="0" w:name="_Toc174041538"/>
      <w:r w:rsidRPr="004D3578">
        <w:t>1</w:t>
      </w:r>
      <w:r w:rsidRPr="004D3578">
        <w:tab/>
        <w:t>Scope</w:t>
      </w:r>
      <w:bookmarkEnd w:id="0"/>
    </w:p>
    <w:p w14:paraId="58A1C4AA" w14:textId="77777777" w:rsidR="004C2287" w:rsidRDefault="004C2287" w:rsidP="004C2287">
      <w:pPr>
        <w:tabs>
          <w:tab w:val="left" w:pos="2660"/>
        </w:tabs>
        <w:jc w:val="both"/>
        <w:rPr>
          <w:bCs/>
          <w:sz w:val="22"/>
          <w:szCs w:val="22"/>
        </w:rPr>
      </w:pPr>
    </w:p>
    <w:p w14:paraId="51029B74" w14:textId="77777777" w:rsidR="004C2287" w:rsidRPr="004D3578" w:rsidRDefault="004C2287" w:rsidP="004C2287">
      <w:pPr>
        <w:pStyle w:val="Heading1"/>
      </w:pPr>
      <w:bookmarkStart w:id="1" w:name="_Toc174041539"/>
      <w:r w:rsidRPr="004D3578">
        <w:t>2</w:t>
      </w:r>
      <w:r w:rsidRPr="004D3578">
        <w:tab/>
        <w:t>References</w:t>
      </w:r>
      <w:bookmarkEnd w:id="1"/>
    </w:p>
    <w:p w14:paraId="6C1287FB" w14:textId="77777777" w:rsidR="004C2287" w:rsidRDefault="004C2287" w:rsidP="004C2287">
      <w:pPr>
        <w:tabs>
          <w:tab w:val="left" w:pos="2660"/>
        </w:tabs>
        <w:jc w:val="both"/>
        <w:rPr>
          <w:bCs/>
          <w:sz w:val="22"/>
          <w:szCs w:val="22"/>
        </w:rPr>
      </w:pPr>
    </w:p>
    <w:p w14:paraId="1DF79608" w14:textId="77777777" w:rsidR="004C2287" w:rsidRPr="004D3578" w:rsidRDefault="004C2287" w:rsidP="004C2287">
      <w:pPr>
        <w:pStyle w:val="Heading1"/>
      </w:pPr>
      <w:bookmarkStart w:id="2" w:name="_Toc174041540"/>
      <w:r w:rsidRPr="004D3578">
        <w:t>3</w:t>
      </w:r>
      <w:r w:rsidRPr="004D3578">
        <w:tab/>
        <w:t>Definitions</w:t>
      </w:r>
      <w:r>
        <w:t xml:space="preserve"> of terms, symbols and abbreviations</w:t>
      </w:r>
      <w:bookmarkEnd w:id="2"/>
    </w:p>
    <w:p w14:paraId="7C20535F" w14:textId="77777777" w:rsidR="004C2287" w:rsidRDefault="004C2287" w:rsidP="00DB76A2">
      <w:pPr>
        <w:tabs>
          <w:tab w:val="left" w:pos="2660"/>
        </w:tabs>
        <w:jc w:val="both"/>
        <w:rPr>
          <w:b/>
          <w:sz w:val="36"/>
          <w:szCs w:val="36"/>
        </w:rPr>
      </w:pPr>
    </w:p>
    <w:p w14:paraId="7F2B5A0B" w14:textId="68FCCAF1" w:rsidR="004C2287" w:rsidRDefault="004C2287" w:rsidP="004C2287">
      <w:pPr>
        <w:pStyle w:val="Heading1"/>
      </w:pPr>
      <w:bookmarkStart w:id="3" w:name="_Toc174041544"/>
      <w:r>
        <w:t>4</w:t>
      </w:r>
      <w:r>
        <w:tab/>
        <w:t xml:space="preserve">Illustration of LI for IMS-based </w:t>
      </w:r>
      <w:bookmarkEnd w:id="3"/>
      <w:r w:rsidR="00A705DE">
        <w:t>PTC</w:t>
      </w:r>
    </w:p>
    <w:p w14:paraId="51BBD56A" w14:textId="77777777" w:rsidR="004C2287" w:rsidRDefault="004C2287" w:rsidP="004C2287">
      <w:pPr>
        <w:pStyle w:val="Heading2"/>
      </w:pPr>
      <w:r>
        <w:t>4.1</w:t>
      </w:r>
      <w:r>
        <w:tab/>
        <w:t>Overview</w:t>
      </w:r>
    </w:p>
    <w:p w14:paraId="52FD45BA" w14:textId="2AD23BA0" w:rsidR="00241E6B" w:rsidRDefault="001B2778" w:rsidP="00241E6B">
      <w:pPr>
        <w:pStyle w:val="Heading2"/>
      </w:pPr>
      <w:r>
        <w:t>4</w:t>
      </w:r>
      <w:r w:rsidR="00241E6B">
        <w:t>.2</w:t>
      </w:r>
      <w:r w:rsidR="00241E6B">
        <w:tab/>
        <w:t>PTC topology scenarios</w:t>
      </w:r>
    </w:p>
    <w:p w14:paraId="03980EB1" w14:textId="451C78C1" w:rsidR="004C2287" w:rsidRDefault="004C2287" w:rsidP="00DB76A2">
      <w:pPr>
        <w:tabs>
          <w:tab w:val="left" w:pos="2660"/>
        </w:tabs>
        <w:jc w:val="both"/>
        <w:rPr>
          <w:b/>
          <w:sz w:val="36"/>
          <w:szCs w:val="36"/>
        </w:rPr>
      </w:pPr>
    </w:p>
    <w:p w14:paraId="4C82B0F3" w14:textId="2664C9A2" w:rsidR="00DB76A2" w:rsidRPr="00C7527F" w:rsidRDefault="00DB76A2" w:rsidP="00DB76A2">
      <w:pPr>
        <w:tabs>
          <w:tab w:val="left" w:pos="2660"/>
        </w:tabs>
        <w:jc w:val="both"/>
        <w:rPr>
          <w:bCs/>
          <w:sz w:val="22"/>
          <w:szCs w:val="22"/>
        </w:rPr>
      </w:pPr>
      <w:r>
        <w:rPr>
          <w:b/>
          <w:sz w:val="36"/>
          <w:szCs w:val="36"/>
        </w:rPr>
        <w:lastRenderedPageBreak/>
        <w:t>PROPOSAL</w:t>
      </w:r>
    </w:p>
    <w:p w14:paraId="7B7439CD" w14:textId="549A83E7"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251981">
        <w:rPr>
          <w:bCs/>
          <w:sz w:val="22"/>
          <w:szCs w:val="22"/>
        </w:rPr>
        <w:t>9</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7A286897" w14:textId="52500487" w:rsidR="000C4F35" w:rsidRDefault="000C4F35" w:rsidP="000422E5">
      <w:pPr>
        <w:pStyle w:val="Heading2"/>
      </w:pPr>
      <w:r>
        <w:t>4.</w:t>
      </w:r>
      <w:r w:rsidR="000422E5">
        <w:t>3</w:t>
      </w:r>
      <w:r>
        <w:tab/>
      </w:r>
      <w:r w:rsidR="000422E5">
        <w:t>Flow-diagrams</w:t>
      </w:r>
    </w:p>
    <w:p w14:paraId="243DB681" w14:textId="4E2A85D2" w:rsidR="003E060D" w:rsidRDefault="003E060D" w:rsidP="000422E5">
      <w:pPr>
        <w:pStyle w:val="Heading3"/>
      </w:pPr>
      <w:r>
        <w:t>4.</w:t>
      </w:r>
      <w:r w:rsidR="000422E5">
        <w:t>3.1</w:t>
      </w:r>
      <w:r>
        <w:tab/>
        <w:t>General</w:t>
      </w:r>
    </w:p>
    <w:p w14:paraId="36B8DAF5" w14:textId="77777777" w:rsidR="004649C0" w:rsidRDefault="00527A63" w:rsidP="006E772C">
      <w:r>
        <w:t xml:space="preserve">The following sub-clauses give a series of flow-diagrams to illustrate the LI for PTC. In doing so, only the PTC specific NFs are included in the flow. In other words, the IMS NFs through which the PTC signalling and media flow through are not shown so as to have a better view of the flows. For example, when PTC Client A and PTC Client B are in the </w:t>
      </w:r>
      <w:r w:rsidR="00524116">
        <w:t>different</w:t>
      </w:r>
      <w:r>
        <w:t xml:space="preserve"> CSP domain</w:t>
      </w:r>
      <w:r w:rsidR="00524116">
        <w:t>s</w:t>
      </w:r>
      <w:r>
        <w:t>, as per the topology views shown in clause 4.2, the following NFs are present in the PTC signalling and media flow:</w:t>
      </w:r>
    </w:p>
    <w:p w14:paraId="1233B25E" w14:textId="179E809E" w:rsidR="00524116" w:rsidRDefault="00524116" w:rsidP="006E772C">
      <w:r>
        <w:object w:dxaOrig="16404" w:dyaOrig="7518" w14:anchorId="286A3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0.9pt" o:ole="">
            <v:imagedata r:id="rId8" o:title=""/>
          </v:shape>
          <o:OLEObject Type="Embed" ProgID="Visio.Drawing.15" ShapeID="_x0000_i1025" DrawAspect="Content" ObjectID="_1823085110" r:id="rId9"/>
        </w:object>
      </w:r>
    </w:p>
    <w:p w14:paraId="33D706F2" w14:textId="22018F66" w:rsidR="00527A63" w:rsidRDefault="00527A63" w:rsidP="00524116">
      <w:pPr>
        <w:pStyle w:val="Caption"/>
        <w:jc w:val="center"/>
      </w:pPr>
      <w:r>
        <w:t>Figure 4.3.1-1: NFs involved in a PTC signalling and media flow</w:t>
      </w:r>
      <w:r w:rsidR="00524116">
        <w:t xml:space="preserve"> – two CSP domains</w:t>
      </w:r>
    </w:p>
    <w:p w14:paraId="30214F2A" w14:textId="77777777" w:rsidR="004649C0" w:rsidRDefault="00524116" w:rsidP="00524116">
      <w:pPr>
        <w:spacing w:before="120"/>
      </w:pPr>
      <w:r>
        <w:t>When PTC Client A and B are in the same CSP domain, as per the topology views shown in clause 4.2, the following NFs are present in the PTC signalling and media flow.</w:t>
      </w:r>
    </w:p>
    <w:p w14:paraId="2C94F7A9" w14:textId="2B8BE01C" w:rsidR="00524116" w:rsidRDefault="00524116" w:rsidP="006E772C">
      <w:r>
        <w:object w:dxaOrig="26328" w:dyaOrig="10308" w14:anchorId="32157C77">
          <v:shape id="_x0000_i1026" type="#_x0000_t75" style="width:481.65pt;height:188.75pt" o:ole="">
            <v:imagedata r:id="rId10" o:title=""/>
          </v:shape>
          <o:OLEObject Type="Embed" ProgID="Visio.Drawing.15" ShapeID="_x0000_i1026" DrawAspect="Content" ObjectID="_1823085111" r:id="rId11"/>
        </w:object>
      </w:r>
    </w:p>
    <w:p w14:paraId="4D03932E" w14:textId="2BBBA5C0" w:rsidR="00524116" w:rsidRDefault="00524116" w:rsidP="00524116">
      <w:pPr>
        <w:pStyle w:val="Caption"/>
        <w:jc w:val="center"/>
      </w:pPr>
      <w:r>
        <w:t>Figure 4.3.1-2: NFs involved in a PTC signalling and media flow – two CSP domains</w:t>
      </w:r>
    </w:p>
    <w:p w14:paraId="300ECD16" w14:textId="608C7E35" w:rsidR="004649C0" w:rsidRDefault="00524116" w:rsidP="00524116">
      <w:pPr>
        <w:spacing w:before="120"/>
      </w:pPr>
      <w:r>
        <w:lastRenderedPageBreak/>
        <w:t xml:space="preserve">The PTC session setup signalling include SIP messages, H.248 interactions and Diameter interactions. The interworking signalling (SIP), media (RTP) and floor-control (RTCP) flow through the IBCF and TrGW. Since no PTC specific functions are performed in those NFs, from a PTC flow perspective, the presence of those NFs </w:t>
      </w:r>
      <w:r w:rsidR="004649C0">
        <w:t>is</w:t>
      </w:r>
      <w:r>
        <w:t xml:space="preserve"> insignificant. The illustrations shown in the subsequent clauses, therefore, remove those NFs from the flow-diagrams and instead have only the following:</w:t>
      </w:r>
    </w:p>
    <w:p w14:paraId="7F520C40" w14:textId="17EB1199" w:rsidR="00524116" w:rsidRDefault="00A73EF4" w:rsidP="00524116">
      <w:pPr>
        <w:spacing w:before="120"/>
      </w:pPr>
      <w:r>
        <w:object w:dxaOrig="13369" w:dyaOrig="5449" w14:anchorId="63CB46E1">
          <v:shape id="_x0000_i1027" type="#_x0000_t75" style="width:481.1pt;height:195.8pt" o:ole="">
            <v:imagedata r:id="rId12" o:title=""/>
          </v:shape>
          <o:OLEObject Type="Embed" ProgID="Visio.Drawing.15" ShapeID="_x0000_i1027" DrawAspect="Content" ObjectID="_1823085112" r:id="rId13"/>
        </w:object>
      </w:r>
    </w:p>
    <w:p w14:paraId="2C87A239" w14:textId="77777777" w:rsidR="004649C0" w:rsidRDefault="00524116" w:rsidP="00524116">
      <w:pPr>
        <w:pStyle w:val="Caption"/>
        <w:jc w:val="center"/>
      </w:pPr>
      <w:r>
        <w:t xml:space="preserve"> Figure 4.3.1-3: NFs included in the flow diagrams</w:t>
      </w:r>
    </w:p>
    <w:p w14:paraId="12F2B4DF" w14:textId="36EFE742" w:rsidR="004649C0" w:rsidRDefault="00A73EF4" w:rsidP="00524116">
      <w:pPr>
        <w:spacing w:before="120"/>
      </w:pPr>
      <w:r>
        <w:t>The above indicated approach applies to both single CSP case as well as multiple CSP cases unless target non-local ID related illustrations are needed.</w:t>
      </w:r>
    </w:p>
    <w:p w14:paraId="09568044" w14:textId="77777777" w:rsidR="004649C0" w:rsidRDefault="00A73EF4" w:rsidP="00524116">
      <w:pPr>
        <w:spacing w:before="120"/>
      </w:pPr>
      <w:r>
        <w:t>The PTC session may involve two PTC clients or multiple PTC clients. The illustrations show the presence of only two PTC clients (except for one-to-many-to-one cases) due to similarities of flows to the other PTC clients. Floor Control related flows are similar for all cases.</w:t>
      </w:r>
    </w:p>
    <w:p w14:paraId="339C7C45" w14:textId="5BBB121B" w:rsidR="00527A63" w:rsidRDefault="00A73EF4" w:rsidP="00524116">
      <w:pPr>
        <w:spacing w:before="120"/>
      </w:pPr>
      <w:r>
        <w:t>The illustrations are specific to LI and therefore, also include the MDF2, MDF3 and LEMF. To show the user-interactions, User as a separate box is also shown.</w:t>
      </w:r>
      <w:r w:rsidR="00877838">
        <w:t xml:space="preserve"> The flow-diagrams illustrated in the present document use the flow-diagrams in ATIS-0700016 [22] and OMA architecture document [24] as a reference. </w:t>
      </w:r>
    </w:p>
    <w:p w14:paraId="506E4015" w14:textId="038AF04B" w:rsidR="00BA607D" w:rsidRPr="003E060D" w:rsidRDefault="003E060D" w:rsidP="003E060D">
      <w:pPr>
        <w:pStyle w:val="Heading4"/>
      </w:pPr>
      <w:r w:rsidRPr="003E060D">
        <w:t>4.</w:t>
      </w:r>
      <w:r w:rsidR="00A73EF4">
        <w:t>3</w:t>
      </w:r>
      <w:r w:rsidRPr="003E060D">
        <w:t>.</w:t>
      </w:r>
      <w:r w:rsidR="00A73EF4">
        <w:t>2</w:t>
      </w:r>
      <w:r w:rsidRPr="003E060D">
        <w:tab/>
      </w:r>
      <w:r w:rsidR="00A73EF4">
        <w:t>Pre-established session setup</w:t>
      </w:r>
    </w:p>
    <w:p w14:paraId="32F42924" w14:textId="613EA564" w:rsidR="001A72D3" w:rsidRDefault="00CC179C" w:rsidP="00CC179C">
      <w:pPr>
        <w:pStyle w:val="NO"/>
        <w:ind w:left="0" w:firstLine="0"/>
      </w:pPr>
      <w:r>
        <w:t>The figure 4.</w:t>
      </w:r>
      <w:r w:rsidR="00A73EF4">
        <w:t>3</w:t>
      </w:r>
      <w:r>
        <w:t>.</w:t>
      </w:r>
      <w:r w:rsidR="00A73EF4">
        <w:t>2</w:t>
      </w:r>
      <w:r w:rsidR="009A0CE8">
        <w:t>-1</w:t>
      </w:r>
      <w:r>
        <w:t xml:space="preserve"> illustrates </w:t>
      </w:r>
      <w:r w:rsidR="00A73EF4">
        <w:t>flow diagram for a pre-established session setup for a target.</w:t>
      </w:r>
    </w:p>
    <w:p w14:paraId="13D7A0BD" w14:textId="1C70FB29" w:rsidR="003E060D" w:rsidRDefault="00136A43" w:rsidP="00CC179C">
      <w:pPr>
        <w:pStyle w:val="NO"/>
        <w:ind w:left="0" w:firstLine="0"/>
      </w:pPr>
      <w:r>
        <w:object w:dxaOrig="12972" w:dyaOrig="6445" w14:anchorId="0154461C">
          <v:shape id="_x0000_i1028" type="#_x0000_t75" style="width:481.1pt;height:238.9pt" o:ole="">
            <v:imagedata r:id="rId14" o:title=""/>
          </v:shape>
          <o:OLEObject Type="Embed" ProgID="Visio.Drawing.15" ShapeID="_x0000_i1028" DrawAspect="Content" ObjectID="_1823085113" r:id="rId15"/>
        </w:object>
      </w:r>
    </w:p>
    <w:p w14:paraId="0E36CE3E" w14:textId="4C4FEE73" w:rsidR="003E060D" w:rsidRDefault="003E060D" w:rsidP="003E060D">
      <w:pPr>
        <w:pStyle w:val="Caption"/>
        <w:jc w:val="center"/>
      </w:pPr>
      <w:r>
        <w:lastRenderedPageBreak/>
        <w:t>Figure 4.</w:t>
      </w:r>
      <w:r w:rsidR="007344DF">
        <w:t>3</w:t>
      </w:r>
      <w:r>
        <w:t>.</w:t>
      </w:r>
      <w:r w:rsidR="007344DF">
        <w:t>2</w:t>
      </w:r>
      <w:r>
        <w:t xml:space="preserve">-1: </w:t>
      </w:r>
      <w:r w:rsidR="007344DF">
        <w:t>Pre-established session setup for PTC client A (target)</w:t>
      </w:r>
    </w:p>
    <w:p w14:paraId="63572FDA" w14:textId="77777777" w:rsidR="004649C0" w:rsidRDefault="00390F3B" w:rsidP="003E060D">
      <w:pPr>
        <w:spacing w:before="120"/>
      </w:pPr>
      <w:r>
        <w:t>The flow shown in figure 4.3.2-1 is per the requirements specified in TS 33.128 [4]. As an alternative implementation, the flow shown in figure 4.3.2-2 ensures that xIRIs are sent at the successful completion of registration and session setup.</w:t>
      </w:r>
    </w:p>
    <w:p w14:paraId="5E150CBC" w14:textId="7EBE3DD6" w:rsidR="00390F3B" w:rsidRDefault="00136A43" w:rsidP="003E060D">
      <w:pPr>
        <w:spacing w:before="120"/>
      </w:pPr>
      <w:r>
        <w:object w:dxaOrig="12972" w:dyaOrig="6445" w14:anchorId="653B4E3F">
          <v:shape id="_x0000_i1029" type="#_x0000_t75" style="width:481.1pt;height:238.9pt" o:ole="">
            <v:imagedata r:id="rId16" o:title=""/>
          </v:shape>
          <o:OLEObject Type="Embed" ProgID="Visio.Drawing.15" ShapeID="_x0000_i1029" DrawAspect="Content" ObjectID="_1823085114" r:id="rId17"/>
        </w:object>
      </w:r>
    </w:p>
    <w:p w14:paraId="20F46EF9" w14:textId="2A18EB44" w:rsidR="00390F3B" w:rsidRDefault="00390F3B" w:rsidP="00390F3B">
      <w:pPr>
        <w:pStyle w:val="Caption"/>
        <w:jc w:val="center"/>
      </w:pPr>
      <w:r>
        <w:t>Figure 4.3.2-2: Pre-established session setup for PTC client A (target) - alternative</w:t>
      </w:r>
    </w:p>
    <w:p w14:paraId="58B18FCC" w14:textId="77777777" w:rsidR="004649C0" w:rsidRDefault="00390F3B" w:rsidP="003E060D">
      <w:pPr>
        <w:spacing w:before="120"/>
      </w:pPr>
      <w:r>
        <w:t>Timing-wise, the flows shown in figure 4.3.2-1 and 4.3.2-2 appear to be the same. However, with implementation approach shown in figure 4.3.2-2, the xIRIs are not sent if the PTC session setup is not successful.</w:t>
      </w:r>
    </w:p>
    <w:p w14:paraId="1EE653D6" w14:textId="3BF24799"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2A45"/>
    <w:rsid w:val="00033505"/>
    <w:rsid w:val="0003464D"/>
    <w:rsid w:val="0003544D"/>
    <w:rsid w:val="00036EC1"/>
    <w:rsid w:val="00037B82"/>
    <w:rsid w:val="00037C34"/>
    <w:rsid w:val="00040206"/>
    <w:rsid w:val="00041210"/>
    <w:rsid w:val="000422E5"/>
    <w:rsid w:val="000424AD"/>
    <w:rsid w:val="00044897"/>
    <w:rsid w:val="00044DE9"/>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A7B31"/>
    <w:rsid w:val="000B2B16"/>
    <w:rsid w:val="000B302A"/>
    <w:rsid w:val="000B313B"/>
    <w:rsid w:val="000B3595"/>
    <w:rsid w:val="000B3C1D"/>
    <w:rsid w:val="000B7D90"/>
    <w:rsid w:val="000C2BCE"/>
    <w:rsid w:val="000C4F35"/>
    <w:rsid w:val="000D1172"/>
    <w:rsid w:val="000D2437"/>
    <w:rsid w:val="000D2FA2"/>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0F7FA9"/>
    <w:rsid w:val="001000AE"/>
    <w:rsid w:val="0010097F"/>
    <w:rsid w:val="00101CA5"/>
    <w:rsid w:val="0010260F"/>
    <w:rsid w:val="00103706"/>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6A43"/>
    <w:rsid w:val="00137265"/>
    <w:rsid w:val="00141CBC"/>
    <w:rsid w:val="00146465"/>
    <w:rsid w:val="00147D03"/>
    <w:rsid w:val="001519BF"/>
    <w:rsid w:val="001525BE"/>
    <w:rsid w:val="00152A6A"/>
    <w:rsid w:val="00152E23"/>
    <w:rsid w:val="00154629"/>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67FC5"/>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A72D3"/>
    <w:rsid w:val="001A794D"/>
    <w:rsid w:val="001B0521"/>
    <w:rsid w:val="001B20AF"/>
    <w:rsid w:val="001B2778"/>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B7D"/>
    <w:rsid w:val="00214F18"/>
    <w:rsid w:val="00216BE9"/>
    <w:rsid w:val="0021777F"/>
    <w:rsid w:val="00220935"/>
    <w:rsid w:val="00220D09"/>
    <w:rsid w:val="002225B0"/>
    <w:rsid w:val="002314A7"/>
    <w:rsid w:val="00232473"/>
    <w:rsid w:val="002326C0"/>
    <w:rsid w:val="00232CFD"/>
    <w:rsid w:val="00232EAC"/>
    <w:rsid w:val="00241E6B"/>
    <w:rsid w:val="0024217F"/>
    <w:rsid w:val="0024224A"/>
    <w:rsid w:val="00245AA6"/>
    <w:rsid w:val="00246040"/>
    <w:rsid w:val="002477D8"/>
    <w:rsid w:val="00251981"/>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351E"/>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4751"/>
    <w:rsid w:val="002D595F"/>
    <w:rsid w:val="002D6BBE"/>
    <w:rsid w:val="002D7113"/>
    <w:rsid w:val="002D77CD"/>
    <w:rsid w:val="002E560D"/>
    <w:rsid w:val="002E7C6F"/>
    <w:rsid w:val="002F10E4"/>
    <w:rsid w:val="002F12B1"/>
    <w:rsid w:val="002F159E"/>
    <w:rsid w:val="002F27DB"/>
    <w:rsid w:val="002F563F"/>
    <w:rsid w:val="002F7EB5"/>
    <w:rsid w:val="00300984"/>
    <w:rsid w:val="003013E7"/>
    <w:rsid w:val="00302550"/>
    <w:rsid w:val="00302C13"/>
    <w:rsid w:val="0030369B"/>
    <w:rsid w:val="003053CE"/>
    <w:rsid w:val="00305CA1"/>
    <w:rsid w:val="00305F3B"/>
    <w:rsid w:val="00312E78"/>
    <w:rsid w:val="00312EC6"/>
    <w:rsid w:val="00313AFD"/>
    <w:rsid w:val="00314544"/>
    <w:rsid w:val="00314BC3"/>
    <w:rsid w:val="00316377"/>
    <w:rsid w:val="0031648F"/>
    <w:rsid w:val="003200DA"/>
    <w:rsid w:val="00323A53"/>
    <w:rsid w:val="00325D9A"/>
    <w:rsid w:val="00326AAD"/>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0F3B"/>
    <w:rsid w:val="00392031"/>
    <w:rsid w:val="00393D0A"/>
    <w:rsid w:val="003940EC"/>
    <w:rsid w:val="00394EBF"/>
    <w:rsid w:val="00396B07"/>
    <w:rsid w:val="003A018C"/>
    <w:rsid w:val="003A0FFB"/>
    <w:rsid w:val="003A2B10"/>
    <w:rsid w:val="003A2C8B"/>
    <w:rsid w:val="003A3772"/>
    <w:rsid w:val="003A518E"/>
    <w:rsid w:val="003A54B5"/>
    <w:rsid w:val="003A5FD2"/>
    <w:rsid w:val="003A6602"/>
    <w:rsid w:val="003A7D21"/>
    <w:rsid w:val="003B0FA6"/>
    <w:rsid w:val="003B13A7"/>
    <w:rsid w:val="003B2322"/>
    <w:rsid w:val="003B2811"/>
    <w:rsid w:val="003B318A"/>
    <w:rsid w:val="003B4D12"/>
    <w:rsid w:val="003B781C"/>
    <w:rsid w:val="003C0345"/>
    <w:rsid w:val="003C18DF"/>
    <w:rsid w:val="003C2F5C"/>
    <w:rsid w:val="003C43EC"/>
    <w:rsid w:val="003C4D64"/>
    <w:rsid w:val="003C5AD6"/>
    <w:rsid w:val="003D0661"/>
    <w:rsid w:val="003D13F5"/>
    <w:rsid w:val="003D1AB3"/>
    <w:rsid w:val="003D25ED"/>
    <w:rsid w:val="003D3C85"/>
    <w:rsid w:val="003D4F43"/>
    <w:rsid w:val="003D6434"/>
    <w:rsid w:val="003D6FB5"/>
    <w:rsid w:val="003D71F4"/>
    <w:rsid w:val="003E01E7"/>
    <w:rsid w:val="003E060D"/>
    <w:rsid w:val="003E1043"/>
    <w:rsid w:val="003E2D35"/>
    <w:rsid w:val="003E3394"/>
    <w:rsid w:val="003E56A4"/>
    <w:rsid w:val="003E5D43"/>
    <w:rsid w:val="003E6B15"/>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49C0"/>
    <w:rsid w:val="004659E2"/>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137"/>
    <w:rsid w:val="004A3DC0"/>
    <w:rsid w:val="004A4079"/>
    <w:rsid w:val="004A5DA6"/>
    <w:rsid w:val="004B10F9"/>
    <w:rsid w:val="004B3EA6"/>
    <w:rsid w:val="004B4BBE"/>
    <w:rsid w:val="004B629A"/>
    <w:rsid w:val="004B6360"/>
    <w:rsid w:val="004C0716"/>
    <w:rsid w:val="004C1C76"/>
    <w:rsid w:val="004C2287"/>
    <w:rsid w:val="004C34C8"/>
    <w:rsid w:val="004C37C3"/>
    <w:rsid w:val="004C3BBE"/>
    <w:rsid w:val="004D0C39"/>
    <w:rsid w:val="004D1067"/>
    <w:rsid w:val="004D2CE3"/>
    <w:rsid w:val="004D583E"/>
    <w:rsid w:val="004D5AB6"/>
    <w:rsid w:val="004D63ED"/>
    <w:rsid w:val="004D6627"/>
    <w:rsid w:val="004D70CB"/>
    <w:rsid w:val="004E199D"/>
    <w:rsid w:val="004E4E41"/>
    <w:rsid w:val="004E7099"/>
    <w:rsid w:val="004E71BC"/>
    <w:rsid w:val="004F1BE2"/>
    <w:rsid w:val="004F2EE5"/>
    <w:rsid w:val="004F7B80"/>
    <w:rsid w:val="005019B5"/>
    <w:rsid w:val="00501D10"/>
    <w:rsid w:val="00502CCD"/>
    <w:rsid w:val="00504DFF"/>
    <w:rsid w:val="00506226"/>
    <w:rsid w:val="00507F03"/>
    <w:rsid w:val="00511B4C"/>
    <w:rsid w:val="00513927"/>
    <w:rsid w:val="00520743"/>
    <w:rsid w:val="00521E63"/>
    <w:rsid w:val="00522D3F"/>
    <w:rsid w:val="00524116"/>
    <w:rsid w:val="005247AD"/>
    <w:rsid w:val="00525295"/>
    <w:rsid w:val="00526E29"/>
    <w:rsid w:val="00527A63"/>
    <w:rsid w:val="00530707"/>
    <w:rsid w:val="005326B5"/>
    <w:rsid w:val="005335DF"/>
    <w:rsid w:val="0054026E"/>
    <w:rsid w:val="00540BF1"/>
    <w:rsid w:val="00540C42"/>
    <w:rsid w:val="00541287"/>
    <w:rsid w:val="005431FD"/>
    <w:rsid w:val="00543A72"/>
    <w:rsid w:val="00545473"/>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4DED"/>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975DC"/>
    <w:rsid w:val="005A06EE"/>
    <w:rsid w:val="005A0CF5"/>
    <w:rsid w:val="005A21EF"/>
    <w:rsid w:val="005A22E6"/>
    <w:rsid w:val="005A247A"/>
    <w:rsid w:val="005A26F1"/>
    <w:rsid w:val="005A4E11"/>
    <w:rsid w:val="005A5027"/>
    <w:rsid w:val="005A64C0"/>
    <w:rsid w:val="005A6C7A"/>
    <w:rsid w:val="005B07D5"/>
    <w:rsid w:val="005B2E7F"/>
    <w:rsid w:val="005B5220"/>
    <w:rsid w:val="005B5D86"/>
    <w:rsid w:val="005B6712"/>
    <w:rsid w:val="005B7F3C"/>
    <w:rsid w:val="005C1A76"/>
    <w:rsid w:val="005C39F7"/>
    <w:rsid w:val="005C7595"/>
    <w:rsid w:val="005C7FAC"/>
    <w:rsid w:val="005D044B"/>
    <w:rsid w:val="005D35B8"/>
    <w:rsid w:val="005D385C"/>
    <w:rsid w:val="005D45C6"/>
    <w:rsid w:val="005D62BD"/>
    <w:rsid w:val="005D79E5"/>
    <w:rsid w:val="005E0BA9"/>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119C"/>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3080"/>
    <w:rsid w:val="00654165"/>
    <w:rsid w:val="00654502"/>
    <w:rsid w:val="00654A00"/>
    <w:rsid w:val="00657938"/>
    <w:rsid w:val="006602DD"/>
    <w:rsid w:val="006607C1"/>
    <w:rsid w:val="006612B2"/>
    <w:rsid w:val="006618E2"/>
    <w:rsid w:val="00661C12"/>
    <w:rsid w:val="00661D3C"/>
    <w:rsid w:val="00661F8D"/>
    <w:rsid w:val="00662F86"/>
    <w:rsid w:val="00663A5C"/>
    <w:rsid w:val="00663C22"/>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94F1A"/>
    <w:rsid w:val="006A1E86"/>
    <w:rsid w:val="006A2B18"/>
    <w:rsid w:val="006A3147"/>
    <w:rsid w:val="006A5E44"/>
    <w:rsid w:val="006A69BD"/>
    <w:rsid w:val="006A6CEE"/>
    <w:rsid w:val="006B11B2"/>
    <w:rsid w:val="006B1677"/>
    <w:rsid w:val="006B2F46"/>
    <w:rsid w:val="006B410D"/>
    <w:rsid w:val="006B7884"/>
    <w:rsid w:val="006C0B87"/>
    <w:rsid w:val="006C2861"/>
    <w:rsid w:val="006C3211"/>
    <w:rsid w:val="006C4FDB"/>
    <w:rsid w:val="006C656F"/>
    <w:rsid w:val="006D1442"/>
    <w:rsid w:val="006D1A3B"/>
    <w:rsid w:val="006D210E"/>
    <w:rsid w:val="006D215D"/>
    <w:rsid w:val="006D35EB"/>
    <w:rsid w:val="006E3065"/>
    <w:rsid w:val="006E75FF"/>
    <w:rsid w:val="006E772C"/>
    <w:rsid w:val="006E78B9"/>
    <w:rsid w:val="006E7DFE"/>
    <w:rsid w:val="006F01B7"/>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3B2A"/>
    <w:rsid w:val="00714232"/>
    <w:rsid w:val="00714820"/>
    <w:rsid w:val="00714927"/>
    <w:rsid w:val="00720C14"/>
    <w:rsid w:val="00721607"/>
    <w:rsid w:val="00722E09"/>
    <w:rsid w:val="00724395"/>
    <w:rsid w:val="00726D57"/>
    <w:rsid w:val="007273B2"/>
    <w:rsid w:val="00731738"/>
    <w:rsid w:val="007344DF"/>
    <w:rsid w:val="007347A7"/>
    <w:rsid w:val="0073482C"/>
    <w:rsid w:val="007349B2"/>
    <w:rsid w:val="00735166"/>
    <w:rsid w:val="00736C91"/>
    <w:rsid w:val="00736E12"/>
    <w:rsid w:val="0074057B"/>
    <w:rsid w:val="00741A38"/>
    <w:rsid w:val="00742414"/>
    <w:rsid w:val="007425C1"/>
    <w:rsid w:val="0074281A"/>
    <w:rsid w:val="00744174"/>
    <w:rsid w:val="0074585C"/>
    <w:rsid w:val="007458F9"/>
    <w:rsid w:val="00746AC4"/>
    <w:rsid w:val="007515F8"/>
    <w:rsid w:val="00752D30"/>
    <w:rsid w:val="00760712"/>
    <w:rsid w:val="00760E2D"/>
    <w:rsid w:val="0076352C"/>
    <w:rsid w:val="00763944"/>
    <w:rsid w:val="00763A30"/>
    <w:rsid w:val="0076456E"/>
    <w:rsid w:val="0076505C"/>
    <w:rsid w:val="00773760"/>
    <w:rsid w:val="007739AF"/>
    <w:rsid w:val="007743E4"/>
    <w:rsid w:val="0078119B"/>
    <w:rsid w:val="0078170D"/>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4EA"/>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31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47C8"/>
    <w:rsid w:val="00825ADD"/>
    <w:rsid w:val="0082733C"/>
    <w:rsid w:val="0083149D"/>
    <w:rsid w:val="0083321A"/>
    <w:rsid w:val="00834467"/>
    <w:rsid w:val="00834E58"/>
    <w:rsid w:val="0083713E"/>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3BB"/>
    <w:rsid w:val="008676A4"/>
    <w:rsid w:val="00871479"/>
    <w:rsid w:val="008714DC"/>
    <w:rsid w:val="008715B1"/>
    <w:rsid w:val="00872C05"/>
    <w:rsid w:val="00872F72"/>
    <w:rsid w:val="00873611"/>
    <w:rsid w:val="0087413F"/>
    <w:rsid w:val="00874C13"/>
    <w:rsid w:val="00876F03"/>
    <w:rsid w:val="00877082"/>
    <w:rsid w:val="00877838"/>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13BA"/>
    <w:rsid w:val="008D40EA"/>
    <w:rsid w:val="008D471F"/>
    <w:rsid w:val="008D51DA"/>
    <w:rsid w:val="008D5C55"/>
    <w:rsid w:val="008D79F6"/>
    <w:rsid w:val="008E06D1"/>
    <w:rsid w:val="008E296E"/>
    <w:rsid w:val="008E42EE"/>
    <w:rsid w:val="008E4401"/>
    <w:rsid w:val="008E6551"/>
    <w:rsid w:val="008E6635"/>
    <w:rsid w:val="008E7D27"/>
    <w:rsid w:val="008F21A4"/>
    <w:rsid w:val="008F2863"/>
    <w:rsid w:val="008F2E72"/>
    <w:rsid w:val="008F4108"/>
    <w:rsid w:val="008F41EB"/>
    <w:rsid w:val="008F67AD"/>
    <w:rsid w:val="008F6F3A"/>
    <w:rsid w:val="009008CB"/>
    <w:rsid w:val="009024AF"/>
    <w:rsid w:val="00903600"/>
    <w:rsid w:val="009052C5"/>
    <w:rsid w:val="0090616C"/>
    <w:rsid w:val="0091030E"/>
    <w:rsid w:val="00910F9B"/>
    <w:rsid w:val="00912058"/>
    <w:rsid w:val="00913B0C"/>
    <w:rsid w:val="00913E1F"/>
    <w:rsid w:val="00915D5B"/>
    <w:rsid w:val="00915FB4"/>
    <w:rsid w:val="0091613D"/>
    <w:rsid w:val="0091712B"/>
    <w:rsid w:val="009173ED"/>
    <w:rsid w:val="00917C1C"/>
    <w:rsid w:val="009203EA"/>
    <w:rsid w:val="00920996"/>
    <w:rsid w:val="00921992"/>
    <w:rsid w:val="00921E3D"/>
    <w:rsid w:val="009223DE"/>
    <w:rsid w:val="00922ECA"/>
    <w:rsid w:val="00923041"/>
    <w:rsid w:val="00923F0B"/>
    <w:rsid w:val="00924410"/>
    <w:rsid w:val="009247FB"/>
    <w:rsid w:val="00924920"/>
    <w:rsid w:val="009267AD"/>
    <w:rsid w:val="009309AE"/>
    <w:rsid w:val="00932B0B"/>
    <w:rsid w:val="00935939"/>
    <w:rsid w:val="009360AB"/>
    <w:rsid w:val="009366B1"/>
    <w:rsid w:val="00937890"/>
    <w:rsid w:val="0094098E"/>
    <w:rsid w:val="00940DD6"/>
    <w:rsid w:val="00942440"/>
    <w:rsid w:val="00942785"/>
    <w:rsid w:val="00942F46"/>
    <w:rsid w:val="00943BFD"/>
    <w:rsid w:val="00944559"/>
    <w:rsid w:val="00946C90"/>
    <w:rsid w:val="00952E61"/>
    <w:rsid w:val="00953FF0"/>
    <w:rsid w:val="009542E3"/>
    <w:rsid w:val="00954C65"/>
    <w:rsid w:val="009554F5"/>
    <w:rsid w:val="0095570D"/>
    <w:rsid w:val="009565A2"/>
    <w:rsid w:val="0096007A"/>
    <w:rsid w:val="009622BD"/>
    <w:rsid w:val="00963457"/>
    <w:rsid w:val="00964157"/>
    <w:rsid w:val="009645C3"/>
    <w:rsid w:val="009666CA"/>
    <w:rsid w:val="0096737B"/>
    <w:rsid w:val="009676B9"/>
    <w:rsid w:val="00967ABF"/>
    <w:rsid w:val="00967BBA"/>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0CE8"/>
    <w:rsid w:val="009A2D4C"/>
    <w:rsid w:val="009A3319"/>
    <w:rsid w:val="009A4F2F"/>
    <w:rsid w:val="009B111F"/>
    <w:rsid w:val="009B22C0"/>
    <w:rsid w:val="009B2D91"/>
    <w:rsid w:val="009B4B4D"/>
    <w:rsid w:val="009B7C08"/>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3A2"/>
    <w:rsid w:val="00A05C19"/>
    <w:rsid w:val="00A07AC3"/>
    <w:rsid w:val="00A138E8"/>
    <w:rsid w:val="00A15034"/>
    <w:rsid w:val="00A1660B"/>
    <w:rsid w:val="00A21971"/>
    <w:rsid w:val="00A24A50"/>
    <w:rsid w:val="00A25A2F"/>
    <w:rsid w:val="00A25B04"/>
    <w:rsid w:val="00A2612D"/>
    <w:rsid w:val="00A26CF5"/>
    <w:rsid w:val="00A314E0"/>
    <w:rsid w:val="00A31E48"/>
    <w:rsid w:val="00A34B88"/>
    <w:rsid w:val="00A36461"/>
    <w:rsid w:val="00A36645"/>
    <w:rsid w:val="00A412A0"/>
    <w:rsid w:val="00A41677"/>
    <w:rsid w:val="00A41734"/>
    <w:rsid w:val="00A42C04"/>
    <w:rsid w:val="00A42DF4"/>
    <w:rsid w:val="00A4477D"/>
    <w:rsid w:val="00A45FC5"/>
    <w:rsid w:val="00A468A9"/>
    <w:rsid w:val="00A46FC2"/>
    <w:rsid w:val="00A476C0"/>
    <w:rsid w:val="00A477B5"/>
    <w:rsid w:val="00A50B38"/>
    <w:rsid w:val="00A51EE2"/>
    <w:rsid w:val="00A541D0"/>
    <w:rsid w:val="00A554AD"/>
    <w:rsid w:val="00A558AF"/>
    <w:rsid w:val="00A559C6"/>
    <w:rsid w:val="00A5629B"/>
    <w:rsid w:val="00A56435"/>
    <w:rsid w:val="00A5762C"/>
    <w:rsid w:val="00A62D1F"/>
    <w:rsid w:val="00A655CC"/>
    <w:rsid w:val="00A65CAC"/>
    <w:rsid w:val="00A66A15"/>
    <w:rsid w:val="00A705DE"/>
    <w:rsid w:val="00A71127"/>
    <w:rsid w:val="00A73EF4"/>
    <w:rsid w:val="00A73EFB"/>
    <w:rsid w:val="00A74CBD"/>
    <w:rsid w:val="00A74F65"/>
    <w:rsid w:val="00A761AA"/>
    <w:rsid w:val="00A80F20"/>
    <w:rsid w:val="00A83839"/>
    <w:rsid w:val="00A852F8"/>
    <w:rsid w:val="00A8610E"/>
    <w:rsid w:val="00A869B7"/>
    <w:rsid w:val="00A86F01"/>
    <w:rsid w:val="00A87A41"/>
    <w:rsid w:val="00A9073A"/>
    <w:rsid w:val="00A90D26"/>
    <w:rsid w:val="00A91A71"/>
    <w:rsid w:val="00A948B7"/>
    <w:rsid w:val="00A9497D"/>
    <w:rsid w:val="00A9565B"/>
    <w:rsid w:val="00A95B4B"/>
    <w:rsid w:val="00A95D24"/>
    <w:rsid w:val="00A964ED"/>
    <w:rsid w:val="00A96AF5"/>
    <w:rsid w:val="00AA0347"/>
    <w:rsid w:val="00AA7C18"/>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84F"/>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45EB"/>
    <w:rsid w:val="00B76583"/>
    <w:rsid w:val="00B822EB"/>
    <w:rsid w:val="00B828AD"/>
    <w:rsid w:val="00B82A2C"/>
    <w:rsid w:val="00B831A2"/>
    <w:rsid w:val="00B86D3E"/>
    <w:rsid w:val="00B91F6F"/>
    <w:rsid w:val="00B92F72"/>
    <w:rsid w:val="00B95FB4"/>
    <w:rsid w:val="00B9713B"/>
    <w:rsid w:val="00BA00E0"/>
    <w:rsid w:val="00BA224F"/>
    <w:rsid w:val="00BA3787"/>
    <w:rsid w:val="00BA4D09"/>
    <w:rsid w:val="00BA607D"/>
    <w:rsid w:val="00BA723B"/>
    <w:rsid w:val="00BB0369"/>
    <w:rsid w:val="00BB197B"/>
    <w:rsid w:val="00BB4E11"/>
    <w:rsid w:val="00BB7353"/>
    <w:rsid w:val="00BC1025"/>
    <w:rsid w:val="00BC59E3"/>
    <w:rsid w:val="00BC5DDB"/>
    <w:rsid w:val="00BC62BF"/>
    <w:rsid w:val="00BC6890"/>
    <w:rsid w:val="00BD0AB5"/>
    <w:rsid w:val="00BD2CD1"/>
    <w:rsid w:val="00BD6A76"/>
    <w:rsid w:val="00BD7CF0"/>
    <w:rsid w:val="00BE0A62"/>
    <w:rsid w:val="00BE0E55"/>
    <w:rsid w:val="00BE1CFA"/>
    <w:rsid w:val="00BE2C23"/>
    <w:rsid w:val="00BE2E41"/>
    <w:rsid w:val="00BE36F7"/>
    <w:rsid w:val="00BE5EF2"/>
    <w:rsid w:val="00BF2899"/>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C48"/>
    <w:rsid w:val="00C36FD2"/>
    <w:rsid w:val="00C37594"/>
    <w:rsid w:val="00C37BC0"/>
    <w:rsid w:val="00C4058A"/>
    <w:rsid w:val="00C43D25"/>
    <w:rsid w:val="00C4431D"/>
    <w:rsid w:val="00C4665D"/>
    <w:rsid w:val="00C4735A"/>
    <w:rsid w:val="00C47B70"/>
    <w:rsid w:val="00C50162"/>
    <w:rsid w:val="00C50232"/>
    <w:rsid w:val="00C511C1"/>
    <w:rsid w:val="00C53D21"/>
    <w:rsid w:val="00C54A8A"/>
    <w:rsid w:val="00C54D21"/>
    <w:rsid w:val="00C601A7"/>
    <w:rsid w:val="00C60D1A"/>
    <w:rsid w:val="00C616A0"/>
    <w:rsid w:val="00C62ABB"/>
    <w:rsid w:val="00C7040F"/>
    <w:rsid w:val="00C70C3A"/>
    <w:rsid w:val="00C7527F"/>
    <w:rsid w:val="00C75EDD"/>
    <w:rsid w:val="00C80457"/>
    <w:rsid w:val="00C80E55"/>
    <w:rsid w:val="00C810F1"/>
    <w:rsid w:val="00C833ED"/>
    <w:rsid w:val="00C85441"/>
    <w:rsid w:val="00C86E8A"/>
    <w:rsid w:val="00C87847"/>
    <w:rsid w:val="00C91F19"/>
    <w:rsid w:val="00C9204D"/>
    <w:rsid w:val="00C9283A"/>
    <w:rsid w:val="00C94503"/>
    <w:rsid w:val="00C950E4"/>
    <w:rsid w:val="00C95FF9"/>
    <w:rsid w:val="00C96C2A"/>
    <w:rsid w:val="00C978E3"/>
    <w:rsid w:val="00CA0A5C"/>
    <w:rsid w:val="00CA1CB7"/>
    <w:rsid w:val="00CA1E8F"/>
    <w:rsid w:val="00CA2A57"/>
    <w:rsid w:val="00CA3CFD"/>
    <w:rsid w:val="00CA5187"/>
    <w:rsid w:val="00CA5195"/>
    <w:rsid w:val="00CA6694"/>
    <w:rsid w:val="00CA702D"/>
    <w:rsid w:val="00CB1097"/>
    <w:rsid w:val="00CB2158"/>
    <w:rsid w:val="00CB4C6B"/>
    <w:rsid w:val="00CB5EDF"/>
    <w:rsid w:val="00CB6C0B"/>
    <w:rsid w:val="00CB7B67"/>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01D"/>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57D87"/>
    <w:rsid w:val="00D61019"/>
    <w:rsid w:val="00D63BFA"/>
    <w:rsid w:val="00D64110"/>
    <w:rsid w:val="00D6422F"/>
    <w:rsid w:val="00D64F79"/>
    <w:rsid w:val="00D6623A"/>
    <w:rsid w:val="00D67A65"/>
    <w:rsid w:val="00D704DD"/>
    <w:rsid w:val="00D706B5"/>
    <w:rsid w:val="00D709AF"/>
    <w:rsid w:val="00D72116"/>
    <w:rsid w:val="00D72928"/>
    <w:rsid w:val="00D7423B"/>
    <w:rsid w:val="00D75A26"/>
    <w:rsid w:val="00D806CB"/>
    <w:rsid w:val="00D81610"/>
    <w:rsid w:val="00D85089"/>
    <w:rsid w:val="00D85B36"/>
    <w:rsid w:val="00D85D29"/>
    <w:rsid w:val="00D864B9"/>
    <w:rsid w:val="00D86DF7"/>
    <w:rsid w:val="00D87FF5"/>
    <w:rsid w:val="00D91658"/>
    <w:rsid w:val="00D9266E"/>
    <w:rsid w:val="00D94238"/>
    <w:rsid w:val="00D944F1"/>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2937"/>
    <w:rsid w:val="00DD35C7"/>
    <w:rsid w:val="00DD51ED"/>
    <w:rsid w:val="00DD721D"/>
    <w:rsid w:val="00DD7403"/>
    <w:rsid w:val="00DE11C3"/>
    <w:rsid w:val="00DE3457"/>
    <w:rsid w:val="00DE364F"/>
    <w:rsid w:val="00DE4015"/>
    <w:rsid w:val="00DE5508"/>
    <w:rsid w:val="00DE65D3"/>
    <w:rsid w:val="00DF222F"/>
    <w:rsid w:val="00DF2684"/>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57B6"/>
    <w:rsid w:val="00E26529"/>
    <w:rsid w:val="00E26597"/>
    <w:rsid w:val="00E26FB1"/>
    <w:rsid w:val="00E270DC"/>
    <w:rsid w:val="00E344C0"/>
    <w:rsid w:val="00E34A96"/>
    <w:rsid w:val="00E35A5F"/>
    <w:rsid w:val="00E35D89"/>
    <w:rsid w:val="00E370FC"/>
    <w:rsid w:val="00E3783D"/>
    <w:rsid w:val="00E4193A"/>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9768D"/>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2D3F"/>
    <w:rsid w:val="00F0330D"/>
    <w:rsid w:val="00F05FC0"/>
    <w:rsid w:val="00F06F3D"/>
    <w:rsid w:val="00F074BA"/>
    <w:rsid w:val="00F112AD"/>
    <w:rsid w:val="00F115C0"/>
    <w:rsid w:val="00F11909"/>
    <w:rsid w:val="00F12343"/>
    <w:rsid w:val="00F13649"/>
    <w:rsid w:val="00F13992"/>
    <w:rsid w:val="00F14957"/>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5B26"/>
    <w:rsid w:val="00F564F1"/>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4</Pages>
  <Words>610</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Pope;nagaraja.rao@nokia.com</dc:creator>
  <cp:keywords/>
  <dc:description/>
  <cp:lastModifiedBy>Nagaraja Rao (Nokia)</cp:lastModifiedBy>
  <cp:revision>11</cp:revision>
  <cp:lastPrinted>2023-03-29T20:53:00Z</cp:lastPrinted>
  <dcterms:created xsi:type="dcterms:W3CDTF">2025-10-23T21:01:00Z</dcterms:created>
  <dcterms:modified xsi:type="dcterms:W3CDTF">2025-10-27T19:45:00Z</dcterms:modified>
</cp:coreProperties>
</file>